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wmf" ContentType="image/x-wmf"/>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jc w:val="right"/>
        <w:rPr>
          <w:b/>
          <w:b/>
          <w:iCs/>
          <w:sz w:val="22"/>
          <w:szCs w:val="22"/>
        </w:rPr>
      </w:pPr>
      <w:r>
        <w:rPr>
          <w:b/>
          <w:iCs/>
          <w:sz w:val="22"/>
          <w:szCs w:val="22"/>
        </w:rPr>
        <w:t xml:space="preserve">       </w:t>
      </w:r>
    </w:p>
    <w:p>
      <w:pPr>
        <w:pStyle w:val="Normal"/>
        <w:spacing w:lineRule="auto" w:line="276"/>
        <w:jc w:val="right"/>
        <w:rPr>
          <w:sz w:val="22"/>
          <w:szCs w:val="22"/>
        </w:rPr>
      </w:pPr>
      <w:r>
        <w:rPr>
          <w:b/>
          <w:iCs/>
          <w:sz w:val="22"/>
          <w:szCs w:val="22"/>
        </w:rPr>
        <w:t xml:space="preserve"> </w:t>
      </w:r>
      <w:r>
        <w:rPr>
          <w:b/>
          <w:iCs/>
          <w:sz w:val="22"/>
          <w:szCs w:val="22"/>
        </w:rPr>
        <w:t>DECRETO Nº 049 – de 26 de junho de 2020</w:t>
      </w:r>
    </w:p>
    <w:p>
      <w:pPr>
        <w:pStyle w:val="Normal"/>
        <w:spacing w:lineRule="auto" w:line="276" w:before="144" w:after="60"/>
        <w:ind w:left="3686" w:hanging="0"/>
        <w:jc w:val="both"/>
        <w:rPr>
          <w:color w:val="000000"/>
          <w:sz w:val="22"/>
          <w:szCs w:val="22"/>
        </w:rPr>
      </w:pPr>
      <w:r>
        <w:rPr>
          <w:color w:val="000000"/>
          <w:sz w:val="22"/>
          <w:szCs w:val="22"/>
        </w:rPr>
        <w:t>“</w:t>
      </w:r>
      <w:r>
        <w:rPr>
          <w:color w:val="000000"/>
          <w:sz w:val="22"/>
          <w:szCs w:val="22"/>
        </w:rPr>
        <w:t xml:space="preserve">Altera o Decreto n.º 36/2020 e dá outras providências.” </w:t>
      </w:r>
    </w:p>
    <w:p>
      <w:pPr>
        <w:pStyle w:val="Normal"/>
        <w:spacing w:lineRule="auto" w:line="276"/>
        <w:jc w:val="both"/>
        <w:rPr>
          <w:sz w:val="22"/>
          <w:szCs w:val="22"/>
        </w:rPr>
      </w:pPr>
      <w:r>
        <w:rPr>
          <w:sz w:val="22"/>
          <w:szCs w:val="22"/>
        </w:rPr>
      </w:r>
    </w:p>
    <w:p>
      <w:pPr>
        <w:pStyle w:val="Normal"/>
        <w:spacing w:lineRule="auto" w:line="276"/>
        <w:ind w:firstLine="1418"/>
        <w:jc w:val="both"/>
        <w:rPr>
          <w:sz w:val="22"/>
          <w:szCs w:val="22"/>
        </w:rPr>
      </w:pPr>
      <w:r>
        <w:rPr>
          <w:b/>
          <w:iCs/>
          <w:sz w:val="22"/>
          <w:szCs w:val="22"/>
        </w:rPr>
        <w:t>A PREFEITA DO MUNICÍPIO DE RIBEIRÃO GRANDE</w:t>
      </w:r>
      <w:r>
        <w:rPr>
          <w:iCs/>
          <w:sz w:val="22"/>
          <w:szCs w:val="22"/>
        </w:rPr>
        <w:t>,</w:t>
      </w:r>
      <w:r>
        <w:rPr>
          <w:sz w:val="22"/>
          <w:szCs w:val="22"/>
        </w:rPr>
        <w:t xml:space="preserve"> Estado de São Paulo, no uso de suas atribuições constitucionais e legais; e</w:t>
      </w:r>
    </w:p>
    <w:p>
      <w:pPr>
        <w:pStyle w:val="Normal"/>
        <w:spacing w:lineRule="auto" w:line="276"/>
        <w:jc w:val="both"/>
        <w:rPr>
          <w:sz w:val="22"/>
          <w:szCs w:val="22"/>
        </w:rPr>
      </w:pPr>
      <w:r>
        <w:rPr>
          <w:sz w:val="22"/>
          <w:szCs w:val="22"/>
        </w:rPr>
      </w:r>
    </w:p>
    <w:p>
      <w:pPr>
        <w:pStyle w:val="Normal"/>
        <w:spacing w:lineRule="auto" w:line="276"/>
        <w:jc w:val="both"/>
        <w:rPr>
          <w:sz w:val="22"/>
          <w:szCs w:val="22"/>
        </w:rPr>
      </w:pPr>
      <w:r>
        <w:rPr>
          <w:sz w:val="22"/>
          <w:szCs w:val="22"/>
        </w:rPr>
        <w:tab/>
        <w:t xml:space="preserve">          CONSIDERANDO o teor do Decreto n.º 64.994/2020, do Governador do Estado de São Paulo, que instituiu o Plano São Paulo;</w:t>
      </w:r>
    </w:p>
    <w:p>
      <w:pPr>
        <w:pStyle w:val="Normal"/>
        <w:spacing w:lineRule="auto" w:line="276"/>
        <w:jc w:val="both"/>
        <w:rPr>
          <w:sz w:val="22"/>
          <w:szCs w:val="22"/>
        </w:rPr>
      </w:pPr>
      <w:r>
        <w:rPr>
          <w:sz w:val="22"/>
          <w:szCs w:val="22"/>
        </w:rPr>
      </w:r>
    </w:p>
    <w:p>
      <w:pPr>
        <w:pStyle w:val="Normal"/>
        <w:spacing w:lineRule="auto" w:line="276"/>
        <w:jc w:val="both"/>
        <w:rPr>
          <w:sz w:val="22"/>
          <w:szCs w:val="22"/>
        </w:rPr>
      </w:pPr>
      <w:r>
        <w:rPr>
          <w:sz w:val="22"/>
          <w:szCs w:val="22"/>
        </w:rPr>
        <w:tab/>
        <w:tab/>
        <w:t>CONSIDERANDO a necessidade de conter a disseminação da</w:t>
      </w:r>
    </w:p>
    <w:p>
      <w:pPr>
        <w:pStyle w:val="Normal"/>
        <w:spacing w:lineRule="auto" w:line="276"/>
        <w:jc w:val="both"/>
        <w:rPr>
          <w:sz w:val="22"/>
          <w:szCs w:val="22"/>
        </w:rPr>
      </w:pPr>
      <w:r>
        <w:rPr>
          <w:sz w:val="22"/>
          <w:szCs w:val="22"/>
        </w:rPr>
        <w:t>COVID-19 e garantir o adequado funcionamento dos serviços de saúde.</w:t>
      </w:r>
    </w:p>
    <w:p>
      <w:pPr>
        <w:pStyle w:val="Normal"/>
        <w:spacing w:lineRule="auto" w:line="276"/>
        <w:jc w:val="both"/>
        <w:rPr>
          <w:sz w:val="22"/>
          <w:szCs w:val="22"/>
        </w:rPr>
      </w:pPr>
      <w:r>
        <w:rPr>
          <w:sz w:val="22"/>
          <w:szCs w:val="22"/>
        </w:rPr>
      </w:r>
    </w:p>
    <w:p>
      <w:pPr>
        <w:pStyle w:val="Normal"/>
        <w:spacing w:lineRule="auto" w:line="276"/>
        <w:jc w:val="both"/>
        <w:rPr>
          <w:sz w:val="22"/>
          <w:szCs w:val="22"/>
        </w:rPr>
      </w:pPr>
      <w:r>
        <w:rPr>
          <w:sz w:val="22"/>
          <w:szCs w:val="22"/>
        </w:rPr>
        <w:tab/>
        <w:t xml:space="preserve">           CONSIDERANDO o recente aumento do número de casos confirmados na cidade de Ribeirão Grande e cidades do seu entorno.</w:t>
      </w:r>
    </w:p>
    <w:p>
      <w:pPr>
        <w:pStyle w:val="Normal"/>
        <w:spacing w:lineRule="auto" w:line="276"/>
        <w:jc w:val="both"/>
        <w:rPr>
          <w:sz w:val="22"/>
          <w:szCs w:val="22"/>
        </w:rPr>
      </w:pPr>
      <w:r>
        <w:rPr>
          <w:sz w:val="22"/>
          <w:szCs w:val="22"/>
        </w:rPr>
      </w:r>
    </w:p>
    <w:p>
      <w:pPr>
        <w:pStyle w:val="Normal"/>
        <w:spacing w:lineRule="auto" w:line="276"/>
        <w:jc w:val="both"/>
        <w:rPr>
          <w:sz w:val="22"/>
          <w:szCs w:val="22"/>
        </w:rPr>
      </w:pPr>
      <w:r>
        <w:rPr>
          <w:rFonts w:eastAsia="Arial"/>
          <w:b/>
          <w:sz w:val="22"/>
          <w:szCs w:val="22"/>
        </w:rPr>
        <w:t xml:space="preserve">                   </w:t>
      </w:r>
      <w:r>
        <w:rPr>
          <w:b/>
          <w:sz w:val="22"/>
          <w:szCs w:val="22"/>
        </w:rPr>
        <w:t>D E C R E T A:</w:t>
      </w:r>
    </w:p>
    <w:p>
      <w:pPr>
        <w:pStyle w:val="Normal"/>
        <w:spacing w:lineRule="auto" w:line="276"/>
        <w:ind w:firstLine="1418"/>
        <w:jc w:val="both"/>
        <w:rPr>
          <w:b/>
          <w:b/>
          <w:sz w:val="22"/>
          <w:szCs w:val="22"/>
        </w:rPr>
      </w:pPr>
      <w:r>
        <w:rPr>
          <w:b/>
          <w:sz w:val="22"/>
          <w:szCs w:val="22"/>
        </w:rPr>
      </w:r>
    </w:p>
    <w:p>
      <w:pPr>
        <w:pStyle w:val="Corpodotexto"/>
        <w:spacing w:lineRule="auto" w:line="276"/>
        <w:rPr>
          <w:i w:val="false"/>
          <w:i w:val="false"/>
          <w:sz w:val="22"/>
          <w:szCs w:val="22"/>
        </w:rPr>
      </w:pPr>
      <w:r>
        <w:rPr>
          <w:rFonts w:eastAsia="Arial"/>
          <w:b/>
          <w:i w:val="false"/>
          <w:sz w:val="22"/>
          <w:szCs w:val="22"/>
        </w:rPr>
        <w:t xml:space="preserve">      </w:t>
      </w:r>
      <w:r>
        <w:rPr>
          <w:rFonts w:eastAsia="Arial"/>
          <w:b/>
          <w:i w:val="false"/>
          <w:strike/>
          <w:color w:val="C9211E"/>
          <w:sz w:val="22"/>
          <w:szCs w:val="22"/>
        </w:rPr>
        <w:t xml:space="preserve">     </w:t>
      </w:r>
      <w:r>
        <w:rPr>
          <w:b/>
          <w:i w:val="false"/>
          <w:strike/>
          <w:color w:val="C9211E"/>
          <w:sz w:val="22"/>
          <w:szCs w:val="22"/>
        </w:rPr>
        <w:t>Art. 1º</w:t>
      </w:r>
      <w:r>
        <w:rPr>
          <w:i w:val="false"/>
          <w:strike/>
          <w:color w:val="C9211E"/>
          <w:sz w:val="22"/>
          <w:szCs w:val="22"/>
        </w:rPr>
        <w:t xml:space="preserve"> - O caput do artigo 4º do Decreto n.º 36/2020 passam a ter a seguinte redação.</w:t>
      </w:r>
    </w:p>
    <w:p>
      <w:pPr>
        <w:pStyle w:val="Corpodotexto"/>
        <w:spacing w:lineRule="auto" w:line="276"/>
        <w:rPr>
          <w:i w:val="false"/>
          <w:i w:val="false"/>
          <w:sz w:val="22"/>
          <w:szCs w:val="22"/>
        </w:rPr>
      </w:pPr>
      <w:r>
        <w:rPr>
          <w:i w:val="false"/>
          <w:strike/>
          <w:color w:val="C9211E"/>
          <w:sz w:val="22"/>
          <w:szCs w:val="22"/>
        </w:rPr>
      </w:r>
    </w:p>
    <w:p>
      <w:pPr>
        <w:pStyle w:val="Normal"/>
        <w:spacing w:lineRule="auto" w:line="276"/>
        <w:ind w:left="709" w:right="737" w:firstLine="1191"/>
        <w:jc w:val="both"/>
        <w:rPr>
          <w:sz w:val="22"/>
          <w:szCs w:val="22"/>
        </w:rPr>
      </w:pPr>
      <w:r>
        <w:rPr>
          <w:b/>
          <w:strike/>
          <w:color w:val="C9211E"/>
          <w:sz w:val="22"/>
          <w:szCs w:val="22"/>
        </w:rPr>
        <w:t>Art. 4º</w:t>
      </w:r>
      <w:r>
        <w:rPr>
          <w:strike/>
          <w:color w:val="C9211E"/>
          <w:sz w:val="22"/>
          <w:szCs w:val="22"/>
        </w:rPr>
        <w:t xml:space="preserve"> - Fica decretada medida de quarentena, no período de 26 de junho a 05 de julho de 2020, sujeito à prorrogação, proibido o atendimento presencial ao público em estabelecimentos comerciais, prestadores de serviços e instituições religiosas em funcionamento no Município de Ribeirão Grande, ressalvados os serviços considerados essenciais, conforme discriminado no art. 4º A e com a estrita observância das seguintes regras:</w:t>
      </w:r>
    </w:p>
    <w:p>
      <w:pPr>
        <w:pStyle w:val="Corpodotexto"/>
        <w:spacing w:lineRule="auto" w:line="276"/>
        <w:rPr>
          <w:sz w:val="22"/>
          <w:szCs w:val="22"/>
        </w:rPr>
      </w:pPr>
      <w:r>
        <w:rPr>
          <w:strike/>
          <w:color w:val="C9211E"/>
          <w:sz w:val="22"/>
          <w:szCs w:val="22"/>
        </w:rPr>
      </w:r>
    </w:p>
    <w:p>
      <w:pPr>
        <w:pStyle w:val="Corpodotexto"/>
        <w:spacing w:lineRule="auto" w:line="276"/>
        <w:rPr>
          <w:sz w:val="22"/>
          <w:szCs w:val="22"/>
        </w:rPr>
      </w:pPr>
      <w:r>
        <w:rPr>
          <w:strike/>
          <w:color w:val="C9211E"/>
          <w:sz w:val="22"/>
          <w:szCs w:val="22"/>
        </w:rPr>
        <w:t xml:space="preserve">              </w:t>
      </w:r>
      <w:r>
        <w:rPr>
          <w:b/>
          <w:i w:val="false"/>
          <w:strike/>
          <w:color w:val="C9211E"/>
          <w:sz w:val="22"/>
          <w:szCs w:val="22"/>
        </w:rPr>
        <w:t>Art. 2º</w:t>
      </w:r>
      <w:r>
        <w:rPr>
          <w:i w:val="false"/>
          <w:strike/>
          <w:color w:val="C9211E"/>
          <w:sz w:val="22"/>
          <w:szCs w:val="22"/>
        </w:rPr>
        <w:t xml:space="preserve"> - ficam incluídos no artigo 4º do Decreto n.º 36/2020 os parágrafos 2º, 3ºe 4º com a seguinte redação:</w:t>
      </w:r>
    </w:p>
    <w:p>
      <w:pPr>
        <w:pStyle w:val="Corpodotexto"/>
        <w:spacing w:lineRule="auto" w:line="276"/>
        <w:rPr>
          <w:i w:val="false"/>
          <w:i w:val="false"/>
          <w:sz w:val="22"/>
          <w:szCs w:val="22"/>
        </w:rPr>
      </w:pPr>
      <w:r>
        <w:rPr>
          <w:i w:val="false"/>
          <w:strike/>
          <w:color w:val="C9211E"/>
          <w:sz w:val="22"/>
          <w:szCs w:val="22"/>
        </w:rPr>
      </w:r>
    </w:p>
    <w:p>
      <w:pPr>
        <w:pStyle w:val="Corpodotexto"/>
        <w:spacing w:lineRule="auto" w:line="276"/>
        <w:rPr>
          <w:sz w:val="22"/>
          <w:szCs w:val="22"/>
        </w:rPr>
      </w:pPr>
      <w:r>
        <w:rPr>
          <w:i w:val="false"/>
          <w:strike/>
          <w:color w:val="C9211E"/>
          <w:sz w:val="22"/>
          <w:szCs w:val="22"/>
        </w:rPr>
        <w:t xml:space="preserve">                         </w:t>
      </w:r>
      <w:r>
        <w:rPr>
          <w:rFonts w:eastAsia="Arial"/>
          <w:i w:val="false"/>
          <w:strike/>
          <w:color w:val="C9211E"/>
          <w:sz w:val="22"/>
          <w:szCs w:val="22"/>
        </w:rPr>
        <w:t xml:space="preserve"> </w:t>
      </w:r>
      <w:r>
        <w:rPr>
          <w:i w:val="false"/>
          <w:strike/>
          <w:color w:val="C9211E"/>
          <w:sz w:val="22"/>
          <w:szCs w:val="22"/>
        </w:rPr>
        <w:t>§ 2º Inclui-se na previsão do caput deste artigo as academias.</w:t>
      </w:r>
    </w:p>
    <w:p>
      <w:pPr>
        <w:pStyle w:val="Corpodotexto"/>
        <w:spacing w:lineRule="auto" w:line="276"/>
        <w:ind w:left="709" w:hanging="0"/>
        <w:rPr>
          <w:i w:val="false"/>
          <w:i w:val="false"/>
          <w:sz w:val="22"/>
          <w:szCs w:val="22"/>
        </w:rPr>
      </w:pPr>
      <w:r>
        <w:rPr>
          <w:i w:val="false"/>
          <w:strike/>
          <w:color w:val="C9211E"/>
          <w:sz w:val="22"/>
          <w:szCs w:val="22"/>
        </w:rPr>
      </w:r>
    </w:p>
    <w:p>
      <w:pPr>
        <w:pStyle w:val="Normal"/>
        <w:spacing w:lineRule="auto" w:line="276"/>
        <w:ind w:left="709" w:hanging="0"/>
        <w:jc w:val="both"/>
        <w:rPr>
          <w:sz w:val="22"/>
          <w:szCs w:val="22"/>
        </w:rPr>
      </w:pPr>
      <w:r>
        <w:rPr>
          <w:strike/>
          <w:color w:val="C9211E"/>
          <w:sz w:val="22"/>
          <w:szCs w:val="22"/>
        </w:rPr>
        <w:tab/>
        <w:t xml:space="preserve">  § 3º O disposto neste artigo não se aplica às atividades internas dos estabelecimentos, bem como à realização de transações comerciais por meio de aplicativos, internet, telefone ou outros instrumentos similares e os serviços de entrega de mercadorias (delivery).</w:t>
      </w:r>
    </w:p>
    <w:p>
      <w:pPr>
        <w:pStyle w:val="Normal"/>
        <w:spacing w:lineRule="auto" w:line="276"/>
        <w:ind w:left="709" w:hanging="0"/>
        <w:jc w:val="both"/>
        <w:rPr>
          <w:sz w:val="22"/>
          <w:szCs w:val="22"/>
        </w:rPr>
      </w:pPr>
      <w:r>
        <w:rPr>
          <w:strike/>
          <w:color w:val="C9211E"/>
          <w:sz w:val="22"/>
          <w:szCs w:val="22"/>
        </w:rPr>
        <w:t xml:space="preserve">                </w:t>
      </w:r>
    </w:p>
    <w:p>
      <w:pPr>
        <w:pStyle w:val="Normal"/>
        <w:spacing w:lineRule="auto" w:line="276"/>
        <w:ind w:left="709" w:hanging="0"/>
        <w:jc w:val="both"/>
        <w:rPr>
          <w:sz w:val="22"/>
          <w:szCs w:val="22"/>
        </w:rPr>
      </w:pPr>
      <w:r>
        <w:rPr>
          <w:strike/>
          <w:color w:val="C9211E"/>
          <w:sz w:val="22"/>
          <w:szCs w:val="22"/>
        </w:rPr>
        <w:tab/>
        <w:t xml:space="preserve">  § 4º Os restaurantes, lanchonetes e bares somente poderão funcionar através dos serviços de entrega a domicílio (delivery).</w:t>
      </w:r>
    </w:p>
    <w:p>
      <w:pPr>
        <w:pStyle w:val="Normal"/>
        <w:spacing w:lineRule="auto" w:line="276"/>
        <w:ind w:left="709" w:hanging="0"/>
        <w:jc w:val="both"/>
        <w:rPr>
          <w:sz w:val="22"/>
          <w:szCs w:val="22"/>
        </w:rPr>
      </w:pPr>
      <w:r>
        <w:rPr>
          <w:strike/>
          <w:color w:val="C9211E"/>
          <w:sz w:val="22"/>
          <w:szCs w:val="22"/>
        </w:rPr>
      </w:r>
    </w:p>
    <w:p>
      <w:pPr>
        <w:pStyle w:val="Corpodotexto"/>
        <w:spacing w:lineRule="auto" w:line="276"/>
        <w:ind w:left="709" w:hanging="0"/>
        <w:rPr>
          <w:i w:val="false"/>
          <w:i w:val="false"/>
          <w:sz w:val="22"/>
          <w:szCs w:val="22"/>
        </w:rPr>
      </w:pPr>
      <w:r>
        <w:rPr>
          <w:strike/>
          <w:color w:val="C9211E"/>
          <w:sz w:val="22"/>
          <w:szCs w:val="22"/>
        </w:rPr>
        <w:t xml:space="preserve">              </w:t>
      </w:r>
      <w:r>
        <w:rPr>
          <w:b/>
          <w:i w:val="false"/>
          <w:strike/>
          <w:color w:val="C9211E"/>
          <w:sz w:val="22"/>
          <w:szCs w:val="22"/>
        </w:rPr>
        <w:t>Art. 3º -</w:t>
      </w:r>
      <w:r>
        <w:rPr>
          <w:i w:val="false"/>
          <w:strike/>
          <w:color w:val="C9211E"/>
          <w:sz w:val="22"/>
          <w:szCs w:val="22"/>
        </w:rPr>
        <w:t xml:space="preserve"> Fica criado o artigo 4º - A, e parágrafos 1º, 2º, 3º, 4º e 5º do Decreto n.º 36/2020 com a seguinte redação:</w:t>
      </w:r>
    </w:p>
    <w:p>
      <w:pPr>
        <w:pStyle w:val="Normal"/>
        <w:spacing w:lineRule="auto" w:line="276"/>
        <w:jc w:val="both"/>
        <w:rPr>
          <w:sz w:val="22"/>
          <w:szCs w:val="22"/>
        </w:rPr>
      </w:pPr>
      <w:r>
        <w:rPr>
          <w:strike/>
          <w:color w:val="C9211E"/>
          <w:sz w:val="22"/>
          <w:szCs w:val="22"/>
        </w:rPr>
      </w:r>
    </w:p>
    <w:p>
      <w:pPr>
        <w:pStyle w:val="Normal"/>
        <w:spacing w:lineRule="auto" w:line="276"/>
        <w:ind w:left="1701" w:hanging="0"/>
        <w:jc w:val="both"/>
        <w:rPr>
          <w:sz w:val="22"/>
          <w:szCs w:val="22"/>
        </w:rPr>
      </w:pPr>
      <w:r>
        <w:rPr>
          <w:b/>
          <w:strike/>
          <w:color w:val="C9211E"/>
          <w:sz w:val="22"/>
          <w:szCs w:val="22"/>
        </w:rPr>
        <w:t>Art. 4.º</w:t>
      </w:r>
      <w:r>
        <w:rPr>
          <w:strike/>
          <w:color w:val="C9211E"/>
          <w:sz w:val="22"/>
          <w:szCs w:val="22"/>
        </w:rPr>
        <w:t xml:space="preserve"> A - A suspensão a que se refere o artigo anterior não se aplica aos seguintes estabelecimentos:</w:t>
      </w:r>
    </w:p>
    <w:p>
      <w:pPr>
        <w:pStyle w:val="Normal"/>
        <w:spacing w:lineRule="auto" w:line="276"/>
        <w:ind w:left="1701" w:hanging="0"/>
        <w:jc w:val="both"/>
        <w:rPr>
          <w:sz w:val="22"/>
          <w:szCs w:val="22"/>
        </w:rPr>
      </w:pPr>
      <w:r>
        <w:rPr>
          <w:strike/>
          <w:color w:val="C9211E"/>
          <w:sz w:val="22"/>
          <w:szCs w:val="22"/>
        </w:rPr>
      </w:r>
    </w:p>
    <w:p>
      <w:pPr>
        <w:pStyle w:val="Normal"/>
        <w:spacing w:lineRule="auto" w:line="276"/>
        <w:ind w:left="1701" w:hanging="0"/>
        <w:jc w:val="both"/>
        <w:rPr>
          <w:sz w:val="22"/>
          <w:szCs w:val="22"/>
        </w:rPr>
      </w:pPr>
      <w:r>
        <w:rPr>
          <w:strike/>
          <w:color w:val="C9211E"/>
          <w:sz w:val="22"/>
          <w:szCs w:val="22"/>
        </w:rPr>
        <w:t>I – farmácias;</w:t>
      </w:r>
    </w:p>
    <w:p>
      <w:pPr>
        <w:pStyle w:val="Normal"/>
        <w:spacing w:lineRule="auto" w:line="276"/>
        <w:ind w:left="1701" w:hanging="0"/>
        <w:jc w:val="both"/>
        <w:rPr>
          <w:sz w:val="22"/>
          <w:szCs w:val="22"/>
        </w:rPr>
      </w:pPr>
      <w:r>
        <w:rPr>
          <w:strike/>
          <w:color w:val="C9211E"/>
          <w:sz w:val="22"/>
          <w:szCs w:val="22"/>
        </w:rPr>
        <w:t>II – supermercados, mercados, feiras livres, açougues, peixarias, hortifrutigranjeiros, quitandas e centros de abastecimento de alimentos;</w:t>
      </w:r>
    </w:p>
    <w:p>
      <w:pPr>
        <w:pStyle w:val="Normal"/>
        <w:spacing w:lineRule="auto" w:line="276"/>
        <w:ind w:left="1701" w:hanging="0"/>
        <w:jc w:val="both"/>
        <w:rPr>
          <w:sz w:val="22"/>
          <w:szCs w:val="22"/>
        </w:rPr>
      </w:pPr>
      <w:r>
        <w:rPr>
          <w:strike/>
          <w:color w:val="C9211E"/>
          <w:sz w:val="22"/>
          <w:szCs w:val="22"/>
        </w:rPr>
        <w:t>III – lojas de venda de alimentação para animais;</w:t>
      </w:r>
    </w:p>
    <w:p>
      <w:pPr>
        <w:pStyle w:val="Normal"/>
        <w:spacing w:lineRule="auto" w:line="276"/>
        <w:ind w:left="1701" w:hanging="0"/>
        <w:jc w:val="both"/>
        <w:rPr>
          <w:sz w:val="22"/>
          <w:szCs w:val="22"/>
        </w:rPr>
      </w:pPr>
      <w:r>
        <w:rPr>
          <w:strike/>
          <w:color w:val="C9211E"/>
          <w:sz w:val="22"/>
          <w:szCs w:val="22"/>
        </w:rPr>
        <w:t>IV – distribuidores de gás;</w:t>
      </w:r>
    </w:p>
    <w:p>
      <w:pPr>
        <w:pStyle w:val="Normal"/>
        <w:spacing w:lineRule="auto" w:line="276"/>
        <w:ind w:left="1701" w:hanging="0"/>
        <w:jc w:val="both"/>
        <w:rPr>
          <w:sz w:val="22"/>
          <w:szCs w:val="22"/>
        </w:rPr>
      </w:pPr>
      <w:r>
        <w:rPr>
          <w:strike/>
          <w:color w:val="C9211E"/>
          <w:sz w:val="22"/>
          <w:szCs w:val="22"/>
        </w:rPr>
        <w:t>V – lojas de venda de água mineral;</w:t>
      </w:r>
    </w:p>
    <w:p>
      <w:pPr>
        <w:pStyle w:val="Normal"/>
        <w:spacing w:lineRule="auto" w:line="276"/>
        <w:ind w:left="1701" w:hanging="0"/>
        <w:jc w:val="both"/>
        <w:rPr>
          <w:sz w:val="22"/>
          <w:szCs w:val="22"/>
        </w:rPr>
      </w:pPr>
      <w:r>
        <w:rPr>
          <w:strike/>
          <w:color w:val="C9211E"/>
          <w:sz w:val="22"/>
          <w:szCs w:val="22"/>
        </w:rPr>
        <w:t>VI – padarias;</w:t>
      </w:r>
    </w:p>
    <w:p>
      <w:pPr>
        <w:pStyle w:val="Normal"/>
        <w:spacing w:lineRule="auto" w:line="276"/>
        <w:ind w:left="1701" w:hanging="0"/>
        <w:jc w:val="both"/>
        <w:rPr>
          <w:sz w:val="22"/>
          <w:szCs w:val="22"/>
        </w:rPr>
      </w:pPr>
      <w:r>
        <w:rPr>
          <w:strike/>
          <w:color w:val="C9211E"/>
          <w:sz w:val="22"/>
          <w:szCs w:val="22"/>
        </w:rPr>
        <w:t xml:space="preserve">VII – postos de combustível; </w:t>
      </w:r>
    </w:p>
    <w:p>
      <w:pPr>
        <w:pStyle w:val="Normal"/>
        <w:spacing w:lineRule="auto" w:line="276"/>
        <w:ind w:left="1701" w:hanging="0"/>
        <w:jc w:val="both"/>
        <w:rPr>
          <w:sz w:val="22"/>
          <w:szCs w:val="22"/>
        </w:rPr>
      </w:pPr>
      <w:r>
        <w:rPr>
          <w:strike/>
          <w:color w:val="C9211E"/>
          <w:sz w:val="22"/>
          <w:szCs w:val="22"/>
        </w:rPr>
        <w:t>VIII – Clinicas médicas e odontológicas;</w:t>
      </w:r>
    </w:p>
    <w:p>
      <w:pPr>
        <w:pStyle w:val="Normal"/>
        <w:spacing w:lineRule="auto" w:line="276"/>
        <w:ind w:left="1701" w:hanging="0"/>
        <w:jc w:val="both"/>
        <w:rPr>
          <w:sz w:val="22"/>
          <w:szCs w:val="22"/>
        </w:rPr>
      </w:pPr>
      <w:r>
        <w:rPr>
          <w:strike/>
          <w:color w:val="C9211E"/>
          <w:sz w:val="22"/>
          <w:szCs w:val="22"/>
        </w:rPr>
        <w:t>IX –  Lojas de materiais de construção;</w:t>
      </w:r>
    </w:p>
    <w:p>
      <w:pPr>
        <w:pStyle w:val="Normal"/>
        <w:spacing w:lineRule="auto" w:line="276"/>
        <w:ind w:left="1701" w:hanging="0"/>
        <w:jc w:val="both"/>
        <w:rPr>
          <w:sz w:val="22"/>
          <w:szCs w:val="22"/>
        </w:rPr>
      </w:pPr>
      <w:r>
        <w:rPr>
          <w:strike/>
          <w:color w:val="C9211E"/>
          <w:sz w:val="22"/>
          <w:szCs w:val="22"/>
        </w:rPr>
        <w:t xml:space="preserve">X – oficinas mecânicas; </w:t>
      </w:r>
    </w:p>
    <w:p>
      <w:pPr>
        <w:pStyle w:val="Normal"/>
        <w:spacing w:lineRule="auto" w:line="276"/>
        <w:ind w:left="1701" w:hanging="0"/>
        <w:jc w:val="both"/>
        <w:rPr>
          <w:sz w:val="22"/>
          <w:szCs w:val="22"/>
        </w:rPr>
      </w:pPr>
      <w:r>
        <w:rPr>
          <w:strike/>
          <w:color w:val="C9211E"/>
          <w:sz w:val="22"/>
          <w:szCs w:val="22"/>
        </w:rPr>
        <w:t>XI – lotéricas e correios;</w:t>
      </w:r>
    </w:p>
    <w:p>
      <w:pPr>
        <w:pStyle w:val="Normal"/>
        <w:spacing w:lineRule="auto" w:line="276"/>
        <w:ind w:left="567" w:hanging="0"/>
        <w:jc w:val="both"/>
        <w:rPr>
          <w:sz w:val="22"/>
          <w:szCs w:val="22"/>
        </w:rPr>
      </w:pPr>
      <w:r>
        <w:rPr>
          <w:strike/>
          <w:color w:val="C9211E"/>
          <w:sz w:val="22"/>
          <w:szCs w:val="22"/>
        </w:rPr>
        <w:t xml:space="preserve">                 </w:t>
      </w:r>
      <w:r>
        <w:rPr>
          <w:strike/>
          <w:color w:val="C9211E"/>
          <w:sz w:val="22"/>
          <w:szCs w:val="22"/>
        </w:rPr>
        <w:t>XII – agências bancárias.</w:t>
      </w:r>
    </w:p>
    <w:p>
      <w:pPr>
        <w:pStyle w:val="Normal"/>
        <w:spacing w:lineRule="auto" w:line="276"/>
        <w:ind w:left="426" w:hanging="0"/>
        <w:jc w:val="both"/>
        <w:rPr>
          <w:sz w:val="22"/>
          <w:szCs w:val="22"/>
        </w:rPr>
      </w:pPr>
      <w:r>
        <w:rPr>
          <w:strike/>
          <w:color w:val="C9211E"/>
          <w:sz w:val="22"/>
          <w:szCs w:val="22"/>
        </w:rPr>
      </w:r>
    </w:p>
    <w:p>
      <w:pPr>
        <w:pStyle w:val="Corpodotexto"/>
        <w:spacing w:lineRule="auto" w:line="276"/>
        <w:ind w:left="1560" w:hanging="0"/>
        <w:rPr>
          <w:i w:val="false"/>
          <w:i w:val="false"/>
          <w:sz w:val="22"/>
          <w:szCs w:val="22"/>
        </w:rPr>
      </w:pPr>
      <w:r>
        <w:rPr>
          <w:b/>
          <w:i w:val="false"/>
          <w:strike/>
          <w:color w:val="C9211E"/>
          <w:sz w:val="22"/>
          <w:szCs w:val="22"/>
        </w:rPr>
        <w:t xml:space="preserve"> </w:t>
      </w:r>
      <w:r>
        <w:rPr>
          <w:b/>
          <w:i w:val="false"/>
          <w:strike/>
          <w:color w:val="C9211E"/>
          <w:sz w:val="22"/>
          <w:szCs w:val="22"/>
        </w:rPr>
        <w:t>§ 1º</w:t>
      </w:r>
      <w:r>
        <w:rPr>
          <w:i w:val="false"/>
          <w:strike/>
          <w:color w:val="C9211E"/>
          <w:sz w:val="22"/>
          <w:szCs w:val="22"/>
        </w:rPr>
        <w:t xml:space="preserve"> – O horário máximo de funcionamento dos estabelecimentos descritos neste decreto deverá ser de segunda a sábado das 10:00 ás 18:30 horas. </w:t>
      </w:r>
    </w:p>
    <w:p>
      <w:pPr>
        <w:pStyle w:val="Corpodotexto"/>
        <w:spacing w:lineRule="auto" w:line="276"/>
        <w:ind w:left="1560" w:hanging="0"/>
        <w:rPr>
          <w:i w:val="false"/>
          <w:i w:val="false"/>
          <w:sz w:val="22"/>
          <w:szCs w:val="22"/>
        </w:rPr>
      </w:pPr>
      <w:r>
        <w:rPr>
          <w:i w:val="false"/>
          <w:strike/>
          <w:color w:val="C9211E"/>
          <w:sz w:val="22"/>
          <w:szCs w:val="22"/>
        </w:rPr>
      </w:r>
    </w:p>
    <w:p>
      <w:pPr>
        <w:pStyle w:val="Corpodotexto"/>
        <w:spacing w:lineRule="auto" w:line="276"/>
        <w:ind w:left="1560" w:hanging="0"/>
        <w:rPr>
          <w:i w:val="false"/>
          <w:i w:val="false"/>
          <w:sz w:val="22"/>
          <w:szCs w:val="22"/>
        </w:rPr>
      </w:pPr>
      <w:r>
        <w:rPr>
          <w:b/>
          <w:i w:val="false"/>
          <w:strike/>
          <w:color w:val="C9211E"/>
          <w:sz w:val="22"/>
          <w:szCs w:val="22"/>
        </w:rPr>
        <w:t xml:space="preserve">§ 2º - </w:t>
      </w:r>
      <w:r>
        <w:rPr>
          <w:i w:val="false"/>
          <w:strike/>
          <w:color w:val="C9211E"/>
          <w:sz w:val="22"/>
          <w:szCs w:val="22"/>
        </w:rPr>
        <w:t xml:space="preserve">O horário máximo de funcionamento das lotéricas e correios deverá ser de segunda a sábado das 8:00 às 17:00 horas. </w:t>
      </w:r>
    </w:p>
    <w:p>
      <w:pPr>
        <w:pStyle w:val="Corpodotexto"/>
        <w:spacing w:lineRule="auto" w:line="276"/>
        <w:ind w:left="1560" w:hanging="0"/>
        <w:rPr>
          <w:i w:val="false"/>
          <w:i w:val="false"/>
          <w:sz w:val="22"/>
          <w:szCs w:val="22"/>
        </w:rPr>
      </w:pPr>
      <w:r>
        <w:rPr>
          <w:i w:val="false"/>
          <w:strike/>
          <w:color w:val="C9211E"/>
          <w:sz w:val="22"/>
          <w:szCs w:val="22"/>
        </w:rPr>
      </w:r>
    </w:p>
    <w:p>
      <w:pPr>
        <w:pStyle w:val="Corpodotexto"/>
        <w:spacing w:lineRule="auto" w:line="276"/>
        <w:ind w:left="1560" w:hanging="0"/>
        <w:rPr>
          <w:i w:val="false"/>
          <w:i w:val="false"/>
          <w:sz w:val="22"/>
          <w:szCs w:val="22"/>
        </w:rPr>
      </w:pPr>
      <w:r>
        <w:rPr>
          <w:b/>
          <w:i w:val="false"/>
          <w:strike/>
          <w:color w:val="C9211E"/>
          <w:sz w:val="22"/>
          <w:szCs w:val="22"/>
        </w:rPr>
        <w:t xml:space="preserve">§ 3º - </w:t>
      </w:r>
      <w:r>
        <w:rPr>
          <w:i w:val="false"/>
          <w:strike/>
          <w:color w:val="C9211E"/>
          <w:sz w:val="22"/>
          <w:szCs w:val="22"/>
        </w:rPr>
        <w:t xml:space="preserve">O horário máximo de funcionamento das padarias deverá ser de segunda a sábado das 6:00 às 17:00 horas. </w:t>
      </w:r>
    </w:p>
    <w:p>
      <w:pPr>
        <w:pStyle w:val="Corpodotexto"/>
        <w:spacing w:lineRule="auto" w:line="276"/>
        <w:ind w:left="1560" w:hanging="0"/>
        <w:rPr>
          <w:i w:val="false"/>
          <w:i w:val="false"/>
          <w:sz w:val="22"/>
          <w:szCs w:val="22"/>
        </w:rPr>
      </w:pPr>
      <w:r>
        <w:rPr>
          <w:i w:val="false"/>
          <w:strike/>
          <w:color w:val="C9211E"/>
          <w:sz w:val="22"/>
          <w:szCs w:val="22"/>
        </w:rPr>
      </w:r>
    </w:p>
    <w:p>
      <w:pPr>
        <w:pStyle w:val="Corpodotexto"/>
        <w:spacing w:lineRule="auto" w:line="276"/>
        <w:ind w:left="1560" w:hanging="0"/>
        <w:rPr>
          <w:i w:val="false"/>
          <w:i w:val="false"/>
          <w:sz w:val="22"/>
          <w:szCs w:val="22"/>
        </w:rPr>
      </w:pPr>
      <w:r>
        <w:rPr>
          <w:b/>
          <w:i w:val="false"/>
          <w:strike/>
          <w:color w:val="C9211E"/>
          <w:sz w:val="22"/>
          <w:szCs w:val="22"/>
        </w:rPr>
        <w:t xml:space="preserve">§ 4º - </w:t>
      </w:r>
      <w:r>
        <w:rPr>
          <w:i w:val="false"/>
          <w:strike/>
          <w:color w:val="C9211E"/>
          <w:sz w:val="22"/>
          <w:szCs w:val="22"/>
        </w:rPr>
        <w:t>O horário máximo de funcionamento das casas de materiais de construção, loja de venda de alimentação para animais e oficinas mecânicas deverá ser de segunda a sexta-feira das 8:00 às 11:00 horas.</w:t>
      </w:r>
    </w:p>
    <w:p>
      <w:pPr>
        <w:pStyle w:val="Corpodotexto"/>
        <w:spacing w:lineRule="auto" w:line="276"/>
        <w:ind w:left="1560" w:hanging="0"/>
        <w:rPr>
          <w:i w:val="false"/>
          <w:i w:val="false"/>
          <w:sz w:val="22"/>
          <w:szCs w:val="22"/>
        </w:rPr>
      </w:pPr>
      <w:r>
        <w:rPr>
          <w:i w:val="false"/>
          <w:strike/>
          <w:color w:val="C9211E"/>
          <w:sz w:val="22"/>
          <w:szCs w:val="22"/>
        </w:rPr>
      </w:r>
    </w:p>
    <w:p>
      <w:pPr>
        <w:pStyle w:val="Corpodotexto"/>
        <w:spacing w:lineRule="auto" w:line="276"/>
        <w:ind w:left="1560" w:hanging="0"/>
        <w:rPr>
          <w:i w:val="false"/>
          <w:i w:val="false"/>
          <w:sz w:val="22"/>
          <w:szCs w:val="22"/>
        </w:rPr>
      </w:pPr>
      <w:r>
        <w:rPr>
          <w:b/>
          <w:i w:val="false"/>
          <w:strike/>
          <w:color w:val="C9211E"/>
          <w:sz w:val="22"/>
          <w:szCs w:val="22"/>
        </w:rPr>
        <w:t xml:space="preserve">§ 5º - </w:t>
      </w:r>
      <w:r>
        <w:rPr>
          <w:i w:val="false"/>
          <w:strike/>
          <w:color w:val="C9211E"/>
          <w:sz w:val="22"/>
          <w:szCs w:val="22"/>
        </w:rPr>
        <w:t>O horário máximo de funcionamento das farmácias e drogarias deverá ser de segunda a sábado das 9:00 às 17:00 horas e domingos das 8:30 às 11:30 horas.</w:t>
      </w:r>
    </w:p>
    <w:p>
      <w:pPr>
        <w:pStyle w:val="Corpodotexto"/>
        <w:spacing w:lineRule="auto" w:line="276"/>
        <w:ind w:left="1560" w:hanging="0"/>
        <w:rPr>
          <w:i w:val="false"/>
          <w:i w:val="false"/>
          <w:sz w:val="22"/>
          <w:szCs w:val="22"/>
        </w:rPr>
      </w:pPr>
      <w:r>
        <w:rPr>
          <w:i w:val="false"/>
          <w:strike/>
          <w:color w:val="C9211E"/>
          <w:sz w:val="22"/>
          <w:szCs w:val="22"/>
        </w:rPr>
      </w:r>
    </w:p>
    <w:p>
      <w:pPr>
        <w:pStyle w:val="Corpodotexto"/>
        <w:spacing w:lineRule="auto" w:line="276"/>
        <w:ind w:left="1560" w:hanging="0"/>
        <w:rPr>
          <w:i w:val="false"/>
          <w:i w:val="false"/>
          <w:sz w:val="22"/>
          <w:szCs w:val="22"/>
        </w:rPr>
      </w:pPr>
      <w:r>
        <w:rPr>
          <w:b/>
          <w:i w:val="false"/>
          <w:strike/>
          <w:color w:val="C9211E"/>
          <w:sz w:val="22"/>
          <w:szCs w:val="22"/>
        </w:rPr>
        <w:t xml:space="preserve">§ 6º - </w:t>
      </w:r>
      <w:r>
        <w:rPr>
          <w:i w:val="false"/>
          <w:strike/>
          <w:color w:val="C9211E"/>
          <w:sz w:val="22"/>
          <w:szCs w:val="22"/>
        </w:rPr>
        <w:t>O horário máximo de funcionamento das agências bancárias deverá ser de segunda a sexta-feira das 7:00 às 12:00 horas.</w:t>
      </w:r>
    </w:p>
    <w:p>
      <w:pPr>
        <w:pStyle w:val="Corpodotexto"/>
        <w:spacing w:lineRule="auto" w:line="276"/>
        <w:ind w:left="1560" w:hanging="0"/>
        <w:rPr>
          <w:i w:val="false"/>
          <w:i w:val="false"/>
          <w:sz w:val="22"/>
          <w:szCs w:val="22"/>
        </w:rPr>
      </w:pPr>
      <w:r>
        <w:rPr>
          <w:i w:val="false"/>
          <w:strike/>
          <w:color w:val="C9211E"/>
          <w:sz w:val="22"/>
          <w:szCs w:val="22"/>
        </w:rPr>
      </w:r>
    </w:p>
    <w:p>
      <w:pPr>
        <w:pStyle w:val="Corpodotexto"/>
        <w:spacing w:lineRule="auto" w:line="276"/>
        <w:rPr>
          <w:i w:val="false"/>
          <w:i w:val="false"/>
          <w:sz w:val="22"/>
          <w:szCs w:val="22"/>
        </w:rPr>
      </w:pPr>
      <w:r>
        <w:rPr>
          <w:i w:val="false"/>
          <w:strike/>
          <w:color w:val="C9211E"/>
          <w:sz w:val="22"/>
          <w:szCs w:val="22"/>
        </w:rPr>
        <w:t xml:space="preserve">                      </w:t>
      </w:r>
      <w:r>
        <w:rPr>
          <w:b/>
          <w:i w:val="false"/>
          <w:strike/>
          <w:color w:val="C9211E"/>
          <w:sz w:val="22"/>
          <w:szCs w:val="22"/>
        </w:rPr>
        <w:t>Art. 4º</w:t>
      </w:r>
      <w:r>
        <w:rPr>
          <w:i w:val="false"/>
          <w:strike/>
          <w:color w:val="C9211E"/>
          <w:sz w:val="22"/>
          <w:szCs w:val="22"/>
        </w:rPr>
        <w:t xml:space="preserve"> - Ficam revogados os incisos IX, XIV, XVI do art. 4º do Decreto n.º 036/2020. </w:t>
      </w:r>
    </w:p>
    <w:p>
      <w:pPr>
        <w:pStyle w:val="Normal"/>
        <w:spacing w:lineRule="auto" w:line="276"/>
        <w:jc w:val="both"/>
        <w:rPr>
          <w:sz w:val="22"/>
          <w:szCs w:val="22"/>
        </w:rPr>
      </w:pPr>
      <w:r>
        <w:rPr>
          <w:strike/>
          <w:color w:val="C9211E"/>
          <w:sz w:val="22"/>
          <w:szCs w:val="22"/>
        </w:rPr>
      </w:r>
    </w:p>
    <w:p>
      <w:pPr>
        <w:pStyle w:val="Normal"/>
        <w:spacing w:lineRule="auto" w:line="276"/>
        <w:ind w:right="737" w:firstLine="1191"/>
        <w:jc w:val="both"/>
        <w:rPr>
          <w:sz w:val="22"/>
          <w:szCs w:val="22"/>
        </w:rPr>
      </w:pPr>
      <w:r>
        <w:rPr>
          <w:strike/>
          <w:color w:val="C9211E"/>
          <w:sz w:val="22"/>
          <w:szCs w:val="22"/>
        </w:rPr>
        <w:tab/>
        <w:t xml:space="preserve"> </w:t>
      </w:r>
      <w:r>
        <w:rPr>
          <w:b/>
          <w:strike/>
          <w:color w:val="C9211E"/>
          <w:sz w:val="22"/>
          <w:szCs w:val="22"/>
        </w:rPr>
        <w:t>Art. 5º</w:t>
      </w:r>
      <w:r>
        <w:rPr>
          <w:strike/>
          <w:color w:val="C9211E"/>
          <w:sz w:val="22"/>
          <w:szCs w:val="22"/>
        </w:rPr>
        <w:t xml:space="preserve"> - o art. 1º do Decreto 031/2020 passa a ter a seguinte redação:</w:t>
      </w:r>
    </w:p>
    <w:p>
      <w:pPr>
        <w:pStyle w:val="Normal"/>
        <w:spacing w:lineRule="auto" w:line="276"/>
        <w:ind w:right="737" w:firstLine="1191"/>
        <w:jc w:val="both"/>
        <w:rPr>
          <w:sz w:val="22"/>
          <w:szCs w:val="22"/>
        </w:rPr>
      </w:pPr>
      <w:r>
        <w:rPr>
          <w:strike/>
          <w:color w:val="C9211E"/>
          <w:sz w:val="22"/>
          <w:szCs w:val="22"/>
        </w:rPr>
      </w:r>
    </w:p>
    <w:p>
      <w:pPr>
        <w:pStyle w:val="Normal"/>
        <w:spacing w:lineRule="auto" w:line="276"/>
        <w:ind w:left="1134" w:right="737" w:hanging="0"/>
        <w:jc w:val="both"/>
        <w:rPr>
          <w:sz w:val="22"/>
          <w:szCs w:val="22"/>
        </w:rPr>
      </w:pPr>
      <w:r>
        <w:rPr>
          <w:b/>
          <w:bCs/>
          <w:strike/>
          <w:color w:val="C9211E"/>
          <w:sz w:val="22"/>
          <w:szCs w:val="22"/>
        </w:rPr>
        <w:t>Artigo 1º</w:t>
      </w:r>
      <w:r>
        <w:rPr>
          <w:strike/>
          <w:color w:val="C9211E"/>
          <w:sz w:val="22"/>
          <w:szCs w:val="22"/>
        </w:rPr>
        <w:t xml:space="preserve"> - Enquanto perdurar a obrigatoriedade do uso de máscaras no âmbito do Estado de São Paulo, nos termos do Decreto Estadual 64.959/2020, fica determinado o uso obrigatório de máscaras de proteção facial, preferencialmente de uso não profissional:</w:t>
      </w:r>
    </w:p>
    <w:p>
      <w:pPr>
        <w:pStyle w:val="Normal"/>
        <w:spacing w:lineRule="auto" w:line="276"/>
        <w:ind w:right="737" w:hanging="0"/>
        <w:jc w:val="both"/>
        <w:rPr>
          <w:sz w:val="22"/>
          <w:szCs w:val="22"/>
        </w:rPr>
      </w:pPr>
      <w:r>
        <w:rPr>
          <w:strike/>
          <w:color w:val="C9211E"/>
          <w:sz w:val="22"/>
          <w:szCs w:val="22"/>
        </w:rPr>
      </w:r>
    </w:p>
    <w:p>
      <w:pPr>
        <w:pStyle w:val="Normal"/>
        <w:spacing w:lineRule="auto" w:line="276"/>
        <w:ind w:right="737" w:firstLine="1191"/>
        <w:jc w:val="both"/>
        <w:rPr>
          <w:sz w:val="22"/>
          <w:szCs w:val="22"/>
        </w:rPr>
      </w:pPr>
      <w:r>
        <w:rPr>
          <w:b/>
          <w:bCs/>
          <w:strike/>
          <w:color w:val="C9211E"/>
          <w:sz w:val="22"/>
          <w:szCs w:val="22"/>
        </w:rPr>
        <w:t>Art. 6º</w:t>
      </w:r>
      <w:r>
        <w:rPr>
          <w:strike/>
          <w:color w:val="C9211E"/>
          <w:sz w:val="22"/>
          <w:szCs w:val="22"/>
        </w:rPr>
        <w:t xml:space="preserve"> - Fica vedado até 05 de julho de 2020, a realização de eventos que causem ou possam causar aglomeração de pessoas, tais como festas, comemorações, confraternizações ou qualquer outro tipo de reunião dessa natureza, em locais como casas, sítios, chácaras, ranchos, fazendas e afins.</w:t>
      </w:r>
    </w:p>
    <w:p>
      <w:pPr>
        <w:pStyle w:val="Normal"/>
        <w:spacing w:lineRule="auto" w:line="276"/>
        <w:ind w:right="737" w:firstLine="1191"/>
        <w:jc w:val="both"/>
        <w:rPr>
          <w:sz w:val="22"/>
          <w:szCs w:val="22"/>
        </w:rPr>
      </w:pPr>
      <w:r>
        <w:rPr>
          <w:strike/>
          <w:color w:val="C9211E"/>
          <w:sz w:val="22"/>
          <w:szCs w:val="22"/>
        </w:rPr>
      </w:r>
    </w:p>
    <w:p>
      <w:pPr>
        <w:pStyle w:val="Normal"/>
        <w:spacing w:lineRule="auto" w:line="276"/>
        <w:ind w:right="737" w:firstLine="1191"/>
        <w:jc w:val="both"/>
        <w:rPr>
          <w:sz w:val="22"/>
          <w:szCs w:val="22"/>
        </w:rPr>
      </w:pPr>
      <w:r>
        <w:rPr>
          <w:b/>
          <w:bCs/>
          <w:strike/>
          <w:color w:val="C9211E"/>
          <w:sz w:val="22"/>
          <w:szCs w:val="22"/>
        </w:rPr>
        <w:t>Parágrafo único</w:t>
      </w:r>
      <w:r>
        <w:rPr>
          <w:strike/>
          <w:color w:val="C9211E"/>
          <w:sz w:val="22"/>
          <w:szCs w:val="22"/>
        </w:rPr>
        <w:t xml:space="preserve"> – o descumprimento do presente artigo ensejará a imposição de multa no montante de 100 UFMs ao responsável pelo evento. </w:t>
      </w:r>
    </w:p>
    <w:p>
      <w:pPr>
        <w:pStyle w:val="Normal"/>
        <w:spacing w:lineRule="auto" w:line="276"/>
        <w:ind w:right="737" w:firstLine="1191"/>
        <w:jc w:val="both"/>
        <w:rPr>
          <w:sz w:val="22"/>
          <w:szCs w:val="22"/>
        </w:rPr>
      </w:pPr>
      <w:r>
        <w:rPr>
          <w:strike/>
          <w:color w:val="C9211E"/>
          <w:sz w:val="22"/>
          <w:szCs w:val="22"/>
        </w:rPr>
      </w:r>
    </w:p>
    <w:p>
      <w:pPr>
        <w:pStyle w:val="Normal"/>
        <w:spacing w:lineRule="auto" w:line="276"/>
        <w:ind w:right="737" w:firstLine="1191"/>
        <w:jc w:val="both"/>
        <w:rPr>
          <w:sz w:val="22"/>
          <w:szCs w:val="22"/>
        </w:rPr>
      </w:pPr>
      <w:r>
        <w:rPr>
          <w:strike/>
          <w:color w:val="C9211E"/>
          <w:sz w:val="22"/>
          <w:szCs w:val="22"/>
        </w:rPr>
        <w:t xml:space="preserve"> </w:t>
      </w:r>
      <w:r>
        <w:rPr>
          <w:strike/>
          <w:color w:val="C9211E"/>
          <w:sz w:val="22"/>
          <w:szCs w:val="22"/>
        </w:rPr>
        <w:t xml:space="preserve">Fica aconselhado a todos os munícipes de Ribeirão Grande que permaneçam em suas residências no período das 20:00 hs às 5:00 hs, como medida de preservação da saúde pública e pessoal, ficando determinado a comissão de fiscalização, criada pelo Decreto n.º 31/2020, a adoção de todas as medidas legais para assegurar o cumprimento do presente Decreto. </w:t>
      </w:r>
    </w:p>
    <w:p>
      <w:pPr>
        <w:pStyle w:val="Normal"/>
        <w:spacing w:lineRule="auto" w:line="276"/>
        <w:ind w:right="737" w:firstLine="1191"/>
        <w:jc w:val="both"/>
        <w:rPr>
          <w:sz w:val="22"/>
          <w:szCs w:val="22"/>
        </w:rPr>
      </w:pPr>
      <w:r>
        <w:rPr>
          <w:strike/>
          <w:color w:val="C9211E"/>
          <w:sz w:val="22"/>
          <w:szCs w:val="22"/>
        </w:rPr>
      </w:r>
    </w:p>
    <w:p>
      <w:pPr>
        <w:pStyle w:val="Normal"/>
        <w:spacing w:lineRule="auto" w:line="276"/>
        <w:ind w:right="737" w:firstLine="1191"/>
        <w:jc w:val="both"/>
        <w:rPr>
          <w:sz w:val="22"/>
          <w:szCs w:val="22"/>
        </w:rPr>
      </w:pPr>
      <w:r>
        <w:rPr>
          <w:strike/>
          <w:color w:val="C9211E"/>
          <w:sz w:val="22"/>
          <w:szCs w:val="22"/>
        </w:rPr>
      </w:r>
    </w:p>
    <w:p>
      <w:pPr>
        <w:pStyle w:val="Normal"/>
        <w:spacing w:lineRule="auto" w:line="276"/>
        <w:ind w:right="737" w:firstLine="1191"/>
        <w:jc w:val="both"/>
        <w:rPr>
          <w:sz w:val="22"/>
          <w:szCs w:val="22"/>
        </w:rPr>
      </w:pPr>
      <w:r>
        <w:rPr>
          <w:b/>
          <w:strike/>
          <w:color w:val="C9211E"/>
          <w:sz w:val="22"/>
          <w:szCs w:val="22"/>
        </w:rPr>
        <w:t xml:space="preserve">      </w:t>
      </w:r>
      <w:r>
        <w:rPr>
          <w:b/>
          <w:strike/>
          <w:color w:val="C9211E"/>
          <w:sz w:val="22"/>
          <w:szCs w:val="22"/>
        </w:rPr>
        <w:t>Art. 6º -</w:t>
      </w:r>
      <w:r>
        <w:rPr>
          <w:strike/>
          <w:color w:val="C9211E"/>
          <w:sz w:val="22"/>
          <w:szCs w:val="22"/>
        </w:rPr>
        <w:t xml:space="preserve"> Este decreto entra em vigor na data de sua publicação, fica revogado o decreto n.º 42/2020.</w:t>
      </w:r>
    </w:p>
    <w:p>
      <w:pPr>
        <w:pStyle w:val="Normal"/>
        <w:spacing w:lineRule="auto" w:line="276"/>
        <w:ind w:right="737" w:firstLine="1191"/>
        <w:jc w:val="both"/>
        <w:rPr>
          <w:sz w:val="22"/>
          <w:szCs w:val="22"/>
        </w:rPr>
      </w:pPr>
      <w:r>
        <w:rPr>
          <w:strike/>
          <w:color w:val="C9211E"/>
          <w:sz w:val="22"/>
          <w:szCs w:val="22"/>
        </w:rPr>
      </w:r>
    </w:p>
    <w:p>
      <w:pPr>
        <w:pStyle w:val="Normal"/>
        <w:spacing w:lineRule="auto" w:line="276"/>
        <w:ind w:right="737" w:firstLine="1191"/>
        <w:jc w:val="both"/>
        <w:rPr>
          <w:sz w:val="22"/>
          <w:szCs w:val="22"/>
        </w:rPr>
      </w:pPr>
      <w:r>
        <w:rPr>
          <w:strike w:val="false"/>
          <w:dstrike w:val="false"/>
          <w:color w:val="C9211E"/>
          <w:sz w:val="22"/>
          <w:szCs w:val="22"/>
        </w:rPr>
        <w:t>(revogado pelo decreto 52/2020)</w:t>
      </w:r>
    </w:p>
    <w:p>
      <w:pPr>
        <w:pStyle w:val="Normal"/>
        <w:spacing w:lineRule="auto" w:line="276"/>
        <w:ind w:right="737" w:firstLine="1191"/>
        <w:jc w:val="both"/>
        <w:rPr>
          <w:sz w:val="22"/>
          <w:szCs w:val="22"/>
        </w:rPr>
      </w:pPr>
      <w:r>
        <w:rPr>
          <w:strike w:val="false"/>
          <w:dstrike w:val="false"/>
          <w:color w:val="C9211E"/>
          <w:sz w:val="22"/>
          <w:szCs w:val="22"/>
        </w:rPr>
      </w:r>
    </w:p>
    <w:p>
      <w:pPr>
        <w:pStyle w:val="Normal"/>
        <w:spacing w:lineRule="auto" w:line="276"/>
        <w:jc w:val="both"/>
        <w:rPr>
          <w:sz w:val="22"/>
          <w:szCs w:val="22"/>
        </w:rPr>
      </w:pPr>
      <w:r>
        <w:rPr>
          <w:rFonts w:eastAsia="Arial"/>
          <w:sz w:val="22"/>
          <w:szCs w:val="22"/>
        </w:rPr>
        <w:t xml:space="preserve">                     </w:t>
      </w:r>
      <w:r>
        <w:rPr>
          <w:iCs/>
          <w:sz w:val="22"/>
          <w:szCs w:val="22"/>
        </w:rPr>
        <w:t>Gabinete da Prefeita, data supra.</w:t>
      </w:r>
    </w:p>
    <w:p>
      <w:pPr>
        <w:pStyle w:val="Normal"/>
        <w:spacing w:lineRule="auto" w:line="276"/>
        <w:ind w:firstLine="1418"/>
        <w:jc w:val="both"/>
        <w:rPr>
          <w:sz w:val="22"/>
          <w:szCs w:val="22"/>
        </w:rPr>
      </w:pPr>
      <w:r>
        <w:rPr>
          <w:sz w:val="22"/>
          <w:szCs w:val="22"/>
        </w:rPr>
      </w:r>
    </w:p>
    <w:p>
      <w:pPr>
        <w:pStyle w:val="Normal"/>
        <w:tabs>
          <w:tab w:val="clear" w:pos="708"/>
          <w:tab w:val="left" w:pos="1418" w:leader="none"/>
        </w:tabs>
        <w:spacing w:lineRule="auto" w:line="276"/>
        <w:ind w:firstLine="1361"/>
        <w:jc w:val="both"/>
        <w:rPr>
          <w:sz w:val="22"/>
          <w:szCs w:val="22"/>
        </w:rPr>
      </w:pPr>
      <w:r>
        <w:rPr>
          <w:sz w:val="22"/>
          <w:szCs w:val="22"/>
        </w:rPr>
      </w:r>
    </w:p>
    <w:p>
      <w:pPr>
        <w:pStyle w:val="Normal"/>
        <w:tabs>
          <w:tab w:val="clear" w:pos="708"/>
          <w:tab w:val="left" w:pos="1418" w:leader="none"/>
        </w:tabs>
        <w:spacing w:lineRule="auto" w:line="276"/>
        <w:ind w:firstLine="1361"/>
        <w:jc w:val="both"/>
        <w:rPr>
          <w:sz w:val="22"/>
          <w:szCs w:val="22"/>
        </w:rPr>
      </w:pPr>
      <w:r>
        <w:rPr>
          <w:sz w:val="22"/>
          <w:szCs w:val="22"/>
        </w:rPr>
      </w:r>
    </w:p>
    <w:p>
      <w:pPr>
        <w:pStyle w:val="Normal"/>
        <w:spacing w:lineRule="auto" w:line="276"/>
        <w:rPr>
          <w:b/>
          <w:b/>
          <w:iCs/>
          <w:sz w:val="22"/>
          <w:szCs w:val="22"/>
        </w:rPr>
      </w:pPr>
      <w:r>
        <w:rPr>
          <w:b/>
          <w:iCs/>
          <w:sz w:val="22"/>
          <w:szCs w:val="22"/>
        </w:rPr>
      </w:r>
    </w:p>
    <w:p>
      <w:pPr>
        <w:pStyle w:val="Normal"/>
        <w:spacing w:lineRule="auto" w:line="276"/>
        <w:ind w:firstLine="1418"/>
        <w:jc w:val="center"/>
        <w:rPr>
          <w:sz w:val="22"/>
          <w:szCs w:val="22"/>
        </w:rPr>
      </w:pPr>
      <w:r>
        <w:rPr>
          <w:b/>
          <w:iCs/>
          <w:sz w:val="22"/>
          <w:szCs w:val="22"/>
        </w:rPr>
        <w:t>ELIANA DOS SANTOS SILVA</w:t>
      </w:r>
    </w:p>
    <w:p>
      <w:pPr>
        <w:pStyle w:val="Normal"/>
        <w:spacing w:lineRule="auto" w:line="276"/>
        <w:ind w:firstLine="1418"/>
        <w:jc w:val="center"/>
        <w:rPr>
          <w:b/>
          <w:b/>
          <w:iCs/>
          <w:sz w:val="22"/>
          <w:szCs w:val="22"/>
        </w:rPr>
      </w:pPr>
      <w:r>
        <w:rPr>
          <w:b/>
          <w:iCs/>
          <w:sz w:val="22"/>
          <w:szCs w:val="22"/>
        </w:rPr>
        <w:t>Prefeita Municipal</w:t>
      </w:r>
    </w:p>
    <w:p>
      <w:pPr>
        <w:pStyle w:val="Normal"/>
        <w:spacing w:lineRule="auto" w:line="276"/>
        <w:ind w:firstLine="1418"/>
        <w:jc w:val="center"/>
        <w:rPr>
          <w:b/>
          <w:b/>
          <w:iCs/>
          <w:sz w:val="22"/>
          <w:szCs w:val="22"/>
        </w:rPr>
      </w:pPr>
      <w:r>
        <w:rPr>
          <w:b/>
          <w:iCs/>
          <w:sz w:val="22"/>
          <w:szCs w:val="22"/>
        </w:rPr>
      </w:r>
    </w:p>
    <w:p>
      <w:pPr>
        <w:pStyle w:val="Normal"/>
        <w:spacing w:lineRule="auto" w:line="276"/>
        <w:ind w:firstLine="1418"/>
        <w:jc w:val="center"/>
        <w:rPr>
          <w:sz w:val="22"/>
          <w:szCs w:val="22"/>
        </w:rPr>
      </w:pPr>
      <w:r>
        <w:rPr>
          <w:sz w:val="22"/>
          <w:szCs w:val="22"/>
        </w:rPr>
      </w:r>
    </w:p>
    <w:p>
      <w:pPr>
        <w:pStyle w:val="Normal"/>
        <w:spacing w:lineRule="auto" w:line="276"/>
        <w:rPr>
          <w:b/>
          <w:b/>
          <w:iCs/>
          <w:sz w:val="22"/>
          <w:szCs w:val="22"/>
        </w:rPr>
      </w:pPr>
      <w:r>
        <w:rPr>
          <w:b/>
          <w:iCs/>
          <w:sz w:val="22"/>
          <w:szCs w:val="22"/>
        </w:rPr>
        <w:t>Ciente, publique-se,</w:t>
      </w:r>
    </w:p>
    <w:p>
      <w:pPr>
        <w:pStyle w:val="Normal"/>
        <w:spacing w:lineRule="auto" w:line="276"/>
        <w:rPr>
          <w:b/>
          <w:b/>
          <w:iCs/>
          <w:sz w:val="22"/>
          <w:szCs w:val="22"/>
        </w:rPr>
      </w:pPr>
      <w:r>
        <w:rPr>
          <w:b/>
          <w:iCs/>
          <w:sz w:val="22"/>
          <w:szCs w:val="22"/>
        </w:rPr>
      </w:r>
    </w:p>
    <w:p>
      <w:pPr>
        <w:pStyle w:val="Normal"/>
        <w:spacing w:lineRule="auto" w:line="276"/>
        <w:rPr>
          <w:sz w:val="22"/>
          <w:szCs w:val="22"/>
        </w:rPr>
      </w:pPr>
      <w:r>
        <w:rPr>
          <w:sz w:val="22"/>
          <w:szCs w:val="22"/>
        </w:rPr>
      </w:r>
    </w:p>
    <w:p>
      <w:pPr>
        <w:pStyle w:val="Normal"/>
        <w:spacing w:lineRule="auto" w:line="276"/>
        <w:ind w:firstLine="1418"/>
        <w:jc w:val="center"/>
        <w:rPr>
          <w:b/>
          <w:b/>
          <w:iCs/>
          <w:sz w:val="22"/>
          <w:szCs w:val="22"/>
        </w:rPr>
      </w:pPr>
      <w:r>
        <w:rPr>
          <w:b/>
          <w:iCs/>
          <w:sz w:val="22"/>
          <w:szCs w:val="22"/>
        </w:rPr>
      </w:r>
    </w:p>
    <w:p>
      <w:pPr>
        <w:pStyle w:val="Normal"/>
        <w:spacing w:lineRule="auto" w:line="276"/>
        <w:ind w:firstLine="1418"/>
        <w:jc w:val="center"/>
        <w:rPr>
          <w:b/>
          <w:b/>
          <w:iCs/>
          <w:sz w:val="22"/>
          <w:szCs w:val="22"/>
        </w:rPr>
      </w:pPr>
      <w:r>
        <w:rPr>
          <w:b/>
          <w:iCs/>
          <w:sz w:val="22"/>
          <w:szCs w:val="22"/>
        </w:rPr>
        <w:t xml:space="preserve">WILSON GRILLO </w:t>
      </w:r>
    </w:p>
    <w:p>
      <w:pPr>
        <w:pStyle w:val="Normal"/>
        <w:spacing w:lineRule="auto" w:line="276"/>
        <w:ind w:firstLine="1418"/>
        <w:jc w:val="center"/>
        <w:rPr>
          <w:sz w:val="22"/>
          <w:szCs w:val="22"/>
        </w:rPr>
      </w:pPr>
      <w:r>
        <w:rPr>
          <w:b/>
          <w:iCs/>
          <w:sz w:val="22"/>
          <w:szCs w:val="22"/>
        </w:rPr>
        <w:t>Diretor e Governo e Infraestrutura</w:t>
      </w:r>
    </w:p>
    <w:sectPr>
      <w:headerReference w:type="default" r:id="rId2"/>
      <w:type w:val="nextPage"/>
      <w:pgSz w:w="11906" w:h="16838"/>
      <w:pgMar w:left="1560" w:right="1701" w:header="708" w:top="1417" w:footer="0" w:bottom="1417"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Segoe UI">
    <w:charset w:val="00"/>
    <w:family w:val="roman"/>
    <w:pitch w:val="variable"/>
  </w:font>
  <w:font w:name="Liberation Sans">
    <w:altName w:val="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490" w:type="dxa"/>
      <w:jc w:val="left"/>
      <w:tblInd w:w="-991" w:type="dxa"/>
      <w:tblCellMar>
        <w:top w:w="0" w:type="dxa"/>
        <w:left w:w="70" w:type="dxa"/>
        <w:bottom w:w="0" w:type="dxa"/>
        <w:right w:w="70" w:type="dxa"/>
      </w:tblCellMar>
      <w:tblLook w:firstRow="0" w:noVBand="0" w:lastRow="0" w:firstColumn="0" w:lastColumn="0" w:noHBand="0" w:val="0000"/>
    </w:tblPr>
    <w:tblGrid>
      <w:gridCol w:w="1558"/>
      <w:gridCol w:w="8931"/>
    </w:tblGrid>
    <w:tr>
      <w:trPr>
        <w:trHeight w:val="1701" w:hRule="atLeast"/>
      </w:trPr>
      <w:tc>
        <w:tcPr>
          <w:tcW w:w="1558" w:type="dxa"/>
          <w:tcBorders>
            <w:bottom w:val="double" w:sz="2" w:space="0" w:color="000000"/>
          </w:tcBorders>
          <w:shd w:color="auto" w:fill="auto" w:val="clear"/>
        </w:tcPr>
        <w:p>
          <w:pPr>
            <w:pStyle w:val="Normal"/>
            <w:snapToGrid w:val="false"/>
            <w:jc w:val="center"/>
            <w:rPr>
              <w:i/>
              <w:i/>
              <w:color w:val="000000"/>
              <w:szCs w:val="36"/>
            </w:rPr>
          </w:pPr>
          <w:r>
            <w:rPr/>
            <w:drawing>
              <wp:inline distT="0" distB="0" distL="0" distR="0">
                <wp:extent cx="901700" cy="972820"/>
                <wp:effectExtent l="0" t="0" r="0" b="0"/>
                <wp:docPr id="1" name="Imagem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4" descr=""/>
                        <pic:cNvPicPr>
                          <a:picLocks noChangeAspect="1" noChangeArrowheads="1"/>
                        </pic:cNvPicPr>
                      </pic:nvPicPr>
                      <pic:blipFill>
                        <a:blip r:embed="rId1"/>
                        <a:srcRect l="-59" t="-67" r="-59" b="-67"/>
                        <a:stretch>
                          <a:fillRect/>
                        </a:stretch>
                      </pic:blipFill>
                      <pic:spPr bwMode="auto">
                        <a:xfrm>
                          <a:off x="0" y="0"/>
                          <a:ext cx="901700" cy="972820"/>
                        </a:xfrm>
                        <a:prstGeom prst="rect">
                          <a:avLst/>
                        </a:prstGeom>
                      </pic:spPr>
                    </pic:pic>
                  </a:graphicData>
                </a:graphic>
              </wp:inline>
            </w:drawing>
          </w:r>
        </w:p>
      </w:tc>
      <w:tc>
        <w:tcPr>
          <w:tcW w:w="8931" w:type="dxa"/>
          <w:tcBorders>
            <w:bottom w:val="double" w:sz="2" w:space="0" w:color="000000"/>
          </w:tcBorders>
          <w:shd w:color="auto" w:fill="auto" w:val="clear"/>
        </w:tcPr>
        <w:p>
          <w:pPr>
            <w:pStyle w:val="Ttulo2"/>
            <w:numPr>
              <w:ilvl w:val="1"/>
              <w:numId w:val="2"/>
            </w:numPr>
            <w:snapToGrid w:val="false"/>
            <w:rPr>
              <w:i/>
              <w:i/>
              <w:color w:val="000000"/>
              <w:szCs w:val="36"/>
            </w:rPr>
          </w:pPr>
          <w:r>
            <w:rPr>
              <w:i/>
              <w:color w:val="000000"/>
              <w:szCs w:val="36"/>
            </w:rPr>
          </w:r>
        </w:p>
        <w:p>
          <w:pPr>
            <w:pStyle w:val="Ttulo2"/>
            <w:numPr>
              <w:ilvl w:val="0"/>
              <w:numId w:val="0"/>
            </w:numPr>
            <w:ind w:left="0" w:hanging="0"/>
            <w:rPr/>
          </w:pPr>
          <w:r>
            <w:rPr>
              <w:b/>
              <w:color w:val="000000"/>
              <w:sz w:val="32"/>
              <w:szCs w:val="32"/>
            </w:rPr>
            <w:t>PREFEITURA DO MUNICÍPIO DE RIBEIRÃO GRAND</w:t>
          </w:r>
          <w:r>
            <w:rPr>
              <w:b/>
              <w:color w:val="000000"/>
              <w:szCs w:val="36"/>
            </w:rPr>
            <w:t>E</w:t>
          </w:r>
        </w:p>
        <w:p>
          <w:pPr>
            <w:pStyle w:val="Ttulo1"/>
            <w:numPr>
              <w:ilvl w:val="0"/>
              <w:numId w:val="0"/>
            </w:numPr>
            <w:ind w:left="432" w:hanging="0"/>
            <w:jc w:val="left"/>
            <w:rPr/>
          </w:pPr>
          <w:r>
            <w:rPr>
              <w:rFonts w:eastAsia="Arial"/>
              <w:color w:val="000000"/>
              <w:sz w:val="24"/>
              <w:szCs w:val="24"/>
            </w:rPr>
            <w:t xml:space="preserve">                                        </w:t>
          </w:r>
          <w:r>
            <w:rPr>
              <w:color w:val="000000"/>
              <w:sz w:val="24"/>
              <w:szCs w:val="24"/>
            </w:rPr>
            <w:t>Estado de São Paulo</w:t>
          </w:r>
        </w:p>
        <w:p>
          <w:pPr>
            <w:pStyle w:val="Normal"/>
            <w:rPr>
              <w:i/>
              <w:i/>
              <w:color w:val="000000"/>
              <w:sz w:val="24"/>
              <w:szCs w:val="24"/>
            </w:rPr>
          </w:pPr>
          <w:r>
            <w:rPr>
              <w:i/>
              <w:color w:val="000000"/>
              <w:sz w:val="24"/>
              <w:szCs w:val="24"/>
            </w:rPr>
          </w:r>
        </w:p>
        <w:p>
          <w:pPr>
            <w:pStyle w:val="Normal"/>
            <w:jc w:val="center"/>
            <w:rPr>
              <w:i/>
              <w:i/>
              <w:color w:val="000000"/>
              <w:sz w:val="24"/>
              <w:szCs w:val="24"/>
            </w:rPr>
          </w:pPr>
          <w:r>
            <w:rPr>
              <w:i/>
              <w:color w:val="000000"/>
              <w:sz w:val="24"/>
              <w:szCs w:val="24"/>
            </w:rPr>
          </w:r>
        </w:p>
      </w:tc>
    </w:tr>
  </w:tbl>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none"/>
      <w:suff w:val="nothing"/>
      <w:lvlText w:val=""/>
      <w:lvlJc w:val="left"/>
      <w:pPr>
        <w:ind w:left="432" w:hanging="432"/>
      </w:pPr>
    </w:lvl>
    <w:lvl w:ilvl="1">
      <w:start w:val="1"/>
      <w:pStyle w:val="Ttulo2"/>
      <w:numFmt w:val="none"/>
      <w:suff w:val="nothing"/>
      <w:lvlText w:val=""/>
      <w:lvlJc w:val="left"/>
      <w:pPr>
        <w:ind w:left="576" w:hanging="576"/>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d17e3"/>
    <w:pPr>
      <w:widowControl/>
      <w:suppressAutoHyphens w:val="true"/>
      <w:bidi w:val="0"/>
      <w:spacing w:before="0" w:after="0"/>
      <w:jc w:val="left"/>
    </w:pPr>
    <w:rPr>
      <w:rFonts w:ascii="Arial" w:hAnsi="Arial" w:eastAsia="Times New Roman" w:cs="Arial"/>
      <w:color w:val="auto"/>
      <w:kern w:val="0"/>
      <w:sz w:val="20"/>
      <w:szCs w:val="20"/>
      <w:lang w:val="pt-BR" w:eastAsia="zh-CN" w:bidi="ar-SA"/>
    </w:rPr>
  </w:style>
  <w:style w:type="paragraph" w:styleId="Ttulo1">
    <w:name w:val="Heading 1"/>
    <w:basedOn w:val="Normal"/>
    <w:next w:val="Normal"/>
    <w:link w:val="Ttulo1Char"/>
    <w:qFormat/>
    <w:rsid w:val="00bd17e3"/>
    <w:pPr>
      <w:keepNext w:val="true"/>
      <w:numPr>
        <w:ilvl w:val="0"/>
        <w:numId w:val="1"/>
      </w:numPr>
      <w:jc w:val="center"/>
      <w:outlineLvl w:val="0"/>
    </w:pPr>
    <w:rPr>
      <w:b/>
      <w:sz w:val="22"/>
    </w:rPr>
  </w:style>
  <w:style w:type="paragraph" w:styleId="Ttulo2">
    <w:name w:val="Heading 2"/>
    <w:basedOn w:val="Normal"/>
    <w:next w:val="Normal"/>
    <w:link w:val="Ttulo2Char"/>
    <w:qFormat/>
    <w:rsid w:val="00bd17e3"/>
    <w:pPr>
      <w:keepNext w:val="true"/>
      <w:numPr>
        <w:ilvl w:val="1"/>
        <w:numId w:val="1"/>
      </w:numPr>
      <w:jc w:val="both"/>
      <w:outlineLvl w:val="1"/>
    </w:pPr>
    <w:rPr>
      <w:sz w:val="36"/>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link w:val="Cabealho"/>
    <w:uiPriority w:val="99"/>
    <w:qFormat/>
    <w:rsid w:val="00bd17e3"/>
    <w:rPr/>
  </w:style>
  <w:style w:type="character" w:styleId="RodapChar" w:customStyle="1">
    <w:name w:val="Rodapé Char"/>
    <w:basedOn w:val="DefaultParagraphFont"/>
    <w:link w:val="Rodap"/>
    <w:uiPriority w:val="99"/>
    <w:qFormat/>
    <w:rsid w:val="00bd17e3"/>
    <w:rPr/>
  </w:style>
  <w:style w:type="character" w:styleId="Ttulo1Char" w:customStyle="1">
    <w:name w:val="Título 1 Char"/>
    <w:basedOn w:val="DefaultParagraphFont"/>
    <w:link w:val="Ttulo1"/>
    <w:qFormat/>
    <w:rsid w:val="00bd17e3"/>
    <w:rPr>
      <w:rFonts w:ascii="Arial" w:hAnsi="Arial" w:eastAsia="Times New Roman" w:cs="Arial"/>
      <w:b/>
      <w:szCs w:val="20"/>
      <w:lang w:eastAsia="zh-CN"/>
    </w:rPr>
  </w:style>
  <w:style w:type="character" w:styleId="Ttulo2Char" w:customStyle="1">
    <w:name w:val="Título 2 Char"/>
    <w:basedOn w:val="DefaultParagraphFont"/>
    <w:link w:val="Ttulo2"/>
    <w:qFormat/>
    <w:rsid w:val="00bd17e3"/>
    <w:rPr>
      <w:rFonts w:ascii="Arial" w:hAnsi="Arial" w:eastAsia="Times New Roman" w:cs="Arial"/>
      <w:sz w:val="36"/>
      <w:szCs w:val="20"/>
      <w:lang w:eastAsia="zh-CN"/>
    </w:rPr>
  </w:style>
  <w:style w:type="character" w:styleId="TextodebaloChar" w:customStyle="1">
    <w:name w:val="Texto de balão Char"/>
    <w:basedOn w:val="DefaultParagraphFont"/>
    <w:link w:val="Textodebalo"/>
    <w:uiPriority w:val="99"/>
    <w:semiHidden/>
    <w:qFormat/>
    <w:rsid w:val="00bd17e3"/>
    <w:rPr>
      <w:rFonts w:ascii="Segoe UI" w:hAnsi="Segoe UI" w:cs="Segoe UI"/>
      <w:sz w:val="18"/>
      <w:szCs w:val="18"/>
    </w:rPr>
  </w:style>
  <w:style w:type="character" w:styleId="CorpodetextoChar" w:customStyle="1">
    <w:name w:val="Corpo de texto Char"/>
    <w:basedOn w:val="DefaultParagraphFont"/>
    <w:link w:val="Corpodetexto"/>
    <w:qFormat/>
    <w:rsid w:val="00bd17e3"/>
    <w:rPr>
      <w:rFonts w:ascii="Arial" w:hAnsi="Arial" w:eastAsia="Times New Roman" w:cs="Arial"/>
      <w:i/>
      <w:sz w:val="24"/>
      <w:szCs w:val="20"/>
      <w:lang w:eastAsia="zh-CN"/>
    </w:rPr>
  </w:style>
  <w:style w:type="character" w:styleId="LinkdaInternet" w:customStyle="1">
    <w:name w:val="Link da Internet"/>
    <w:basedOn w:val="DefaultParagraphFont"/>
    <w:uiPriority w:val="99"/>
    <w:unhideWhenUsed/>
    <w:rsid w:val="009452f1"/>
    <w:rPr>
      <w:color w:val="0563C1" w:themeColor="hyperlink"/>
      <w:u w:val="single"/>
    </w:rPr>
  </w:style>
  <w:style w:type="character" w:styleId="UnresolvedMention">
    <w:name w:val="Unresolved Mention"/>
    <w:basedOn w:val="DefaultParagraphFont"/>
    <w:uiPriority w:val="99"/>
    <w:semiHidden/>
    <w:unhideWhenUsed/>
    <w:qFormat/>
    <w:rsid w:val="009452f1"/>
    <w:rPr>
      <w:color w:val="605E5C"/>
      <w:shd w:fill="E1DFDD" w:val="clear"/>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link w:val="CorpodetextoChar"/>
    <w:rsid w:val="00bd17e3"/>
    <w:pPr>
      <w:tabs>
        <w:tab w:val="clear" w:pos="708"/>
        <w:tab w:val="left" w:pos="1985" w:leader="none"/>
      </w:tabs>
      <w:jc w:val="both"/>
    </w:pPr>
    <w:rPr>
      <w:i/>
      <w:sz w:val="24"/>
    </w:rPr>
  </w:style>
  <w:style w:type="paragraph" w:styleId="Lista">
    <w:name w:val="List"/>
    <w:basedOn w:val="Corpodotexto"/>
    <w:pPr/>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Lucida Sans"/>
    </w:rPr>
  </w:style>
  <w:style w:type="paragraph" w:styleId="Ttulododocumento">
    <w:name w:val="Title"/>
    <w:basedOn w:val="Normal"/>
    <w:next w:val="Corpodotexto"/>
    <w:qFormat/>
    <w:pPr>
      <w:keepNext w:val="true"/>
      <w:spacing w:before="240" w:after="120"/>
    </w:pPr>
    <w:rPr>
      <w:rFonts w:ascii="Liberation Sans" w:hAnsi="Liberation Sans" w:eastAsia="Microsoft YaHei" w:cs="Lucida Sans"/>
      <w:sz w:val="28"/>
      <w:szCs w:val="28"/>
    </w:rPr>
  </w:style>
  <w:style w:type="paragraph" w:styleId="Caption">
    <w:name w:val="caption"/>
    <w:basedOn w:val="Normal"/>
    <w:qFormat/>
    <w:pPr>
      <w:suppressLineNumbers/>
      <w:spacing w:before="120" w:after="120"/>
    </w:pPr>
    <w:rPr>
      <w:rFonts w:cs="Lucida Sans"/>
      <w:i/>
      <w:iCs/>
      <w:sz w:val="24"/>
      <w:szCs w:val="24"/>
    </w:rPr>
  </w:style>
  <w:style w:type="paragraph" w:styleId="CabealhoeRodap" w:customStyle="1">
    <w:name w:val="Cabeçalho e Rodapé"/>
    <w:basedOn w:val="Normal"/>
    <w:qFormat/>
    <w:pPr/>
    <w:rPr/>
  </w:style>
  <w:style w:type="paragraph" w:styleId="Cabealho">
    <w:name w:val="Header"/>
    <w:basedOn w:val="Normal"/>
    <w:link w:val="CabealhoChar"/>
    <w:unhideWhenUsed/>
    <w:rsid w:val="00bd17e3"/>
    <w:pPr>
      <w:tabs>
        <w:tab w:val="clear" w:pos="708"/>
        <w:tab w:val="center" w:pos="4252" w:leader="none"/>
        <w:tab w:val="right" w:pos="8504" w:leader="none"/>
      </w:tabs>
      <w:suppressAutoHyphens w:val="false"/>
    </w:pPr>
    <w:rPr>
      <w:rFonts w:ascii="Calibri" w:hAnsi="Calibri" w:eastAsia="Calibri" w:cs="" w:asciiTheme="minorHAnsi" w:cstheme="minorBidi" w:eastAsiaTheme="minorHAnsi" w:hAnsiTheme="minorHAnsi"/>
      <w:sz w:val="22"/>
      <w:szCs w:val="22"/>
      <w:lang w:eastAsia="en-US"/>
    </w:rPr>
  </w:style>
  <w:style w:type="paragraph" w:styleId="Rodap">
    <w:name w:val="Footer"/>
    <w:basedOn w:val="Normal"/>
    <w:link w:val="RodapChar"/>
    <w:uiPriority w:val="99"/>
    <w:unhideWhenUsed/>
    <w:rsid w:val="00bd17e3"/>
    <w:pPr>
      <w:tabs>
        <w:tab w:val="clear" w:pos="708"/>
        <w:tab w:val="center" w:pos="4252" w:leader="none"/>
        <w:tab w:val="right" w:pos="8504" w:leader="none"/>
      </w:tabs>
      <w:suppressAutoHyphens w:val="false"/>
    </w:pPr>
    <w:rPr>
      <w:rFonts w:ascii="Calibri" w:hAnsi="Calibri" w:eastAsia="Calibri" w:cs="" w:asciiTheme="minorHAnsi" w:cstheme="minorBidi" w:eastAsiaTheme="minorHAnsi" w:hAnsiTheme="minorHAnsi"/>
      <w:sz w:val="22"/>
      <w:szCs w:val="22"/>
      <w:lang w:eastAsia="en-US"/>
    </w:rPr>
  </w:style>
  <w:style w:type="paragraph" w:styleId="BalloonText">
    <w:name w:val="Balloon Text"/>
    <w:basedOn w:val="Normal"/>
    <w:link w:val="TextodebaloChar"/>
    <w:uiPriority w:val="99"/>
    <w:semiHidden/>
    <w:unhideWhenUsed/>
    <w:qFormat/>
    <w:rsid w:val="00bd17e3"/>
    <w:pPr>
      <w:suppressAutoHyphens w:val="false"/>
    </w:pPr>
    <w:rPr>
      <w:rFonts w:ascii="Segoe UI" w:hAnsi="Segoe UI" w:eastAsia="Calibri" w:cs="Segoe UI" w:eastAsiaTheme="minorHAnsi"/>
      <w:sz w:val="18"/>
      <w:szCs w:val="18"/>
      <w:lang w:eastAsia="en-US"/>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wmf"/>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784</TotalTime>
  <Application>LibreOffice/6.4.1.2$Windows_X86_64 LibreOffice_project/4d224e95b98b138af42a64d84056446d09082932</Application>
  <Pages>4</Pages>
  <Words>782</Words>
  <Characters>3960</Characters>
  <CharactersWithSpaces>4967</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2020-06-26T00:28:00Z</dcterms:created>
  <dc:creator>Usuário</dc:creator>
  <dc:description/>
  <dc:language>pt-BR</dc:language>
  <cp:lastModifiedBy/>
  <cp:lastPrinted>2020-06-22T16:09:00Z</cp:lastPrinted>
  <dcterms:modified xsi:type="dcterms:W3CDTF">2020-07-14T10:32:27Z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